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97" w:rsidRPr="00173966" w:rsidRDefault="003D1097" w:rsidP="003D1097">
      <w:bookmarkStart w:id="0" w:name="_Toc324770759"/>
      <w:r w:rsidRPr="00173966">
        <w:rPr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3D2AE60" wp14:editId="54786BBF">
            <wp:simplePos x="0" y="0"/>
            <wp:positionH relativeFrom="column">
              <wp:posOffset>-80645</wp:posOffset>
            </wp:positionH>
            <wp:positionV relativeFrom="paragraph">
              <wp:posOffset>-5715</wp:posOffset>
            </wp:positionV>
            <wp:extent cx="904875" cy="920750"/>
            <wp:effectExtent l="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097" w:rsidRDefault="003D1097" w:rsidP="003D1097">
      <w:pPr>
        <w:pStyle w:val="Cm"/>
        <w:outlineLvl w:val="0"/>
        <w:rPr>
          <w:smallCaps/>
          <w:sz w:val="28"/>
          <w:szCs w:val="28"/>
          <w:u w:val="none"/>
          <w:lang w:val="hu-HU"/>
        </w:rPr>
      </w:pPr>
      <w:r w:rsidRPr="00173966">
        <w:rPr>
          <w:smallCaps/>
          <w:sz w:val="28"/>
          <w:szCs w:val="28"/>
          <w:u w:val="none"/>
          <w:lang w:val="hu-HU"/>
        </w:rPr>
        <w:t>Debreceni Református Hittudományi Egyetem</w:t>
      </w:r>
    </w:p>
    <w:p w:rsidR="00173966" w:rsidRPr="00173966" w:rsidRDefault="00173966" w:rsidP="003D1097">
      <w:pPr>
        <w:pStyle w:val="Cm"/>
        <w:outlineLvl w:val="0"/>
        <w:rPr>
          <w:smallCaps/>
          <w:szCs w:val="24"/>
          <w:u w:val="none"/>
          <w:lang w:val="hu-HU"/>
        </w:rPr>
      </w:pPr>
      <w:r w:rsidRPr="00173966">
        <w:rPr>
          <w:smallCaps/>
          <w:szCs w:val="24"/>
          <w:u w:val="none"/>
          <w:lang w:val="hu-HU"/>
        </w:rPr>
        <w:t>DIÁKJÓLÉTI BIZOTTSÁG</w:t>
      </w:r>
    </w:p>
    <w:p w:rsidR="003D1097" w:rsidRPr="00173966" w:rsidRDefault="003D1097" w:rsidP="003D1097">
      <w:pPr>
        <w:jc w:val="center"/>
        <w:outlineLvl w:val="0"/>
      </w:pPr>
      <w:r w:rsidRPr="00173966">
        <w:rPr>
          <w:sz w:val="22"/>
          <w:szCs w:val="22"/>
        </w:rPr>
        <w:t>H</w:t>
      </w:r>
      <w:r w:rsidR="00E43D07">
        <w:t>-4026</w:t>
      </w:r>
      <w:r w:rsidRPr="00173966">
        <w:t xml:space="preserve"> Debrecen, Kálv</w:t>
      </w:r>
      <w:r w:rsidR="00E43D07">
        <w:t>in tér 16. Tel/fax: +36-52/516-555</w:t>
      </w:r>
      <w:r w:rsidRPr="00173966">
        <w:t xml:space="preserve">; </w:t>
      </w:r>
    </w:p>
    <w:p w:rsidR="003D1097" w:rsidRPr="00173966" w:rsidRDefault="00E905AF" w:rsidP="003D1097">
      <w:pPr>
        <w:outlineLvl w:val="0"/>
      </w:pPr>
      <w:r w:rsidRPr="001739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BE47A7" wp14:editId="1BCF982E">
                <wp:simplePos x="0" y="0"/>
                <wp:positionH relativeFrom="column">
                  <wp:posOffset>-128905</wp:posOffset>
                </wp:positionH>
                <wp:positionV relativeFrom="paragraph">
                  <wp:posOffset>111760</wp:posOffset>
                </wp:positionV>
                <wp:extent cx="5212080" cy="0"/>
                <wp:effectExtent l="0" t="0" r="2667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8.8pt" to="400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" o:allowincell="f"/>
            </w:pict>
          </mc:Fallback>
        </mc:AlternateContent>
      </w:r>
    </w:p>
    <w:p w:rsidR="003D1097" w:rsidRPr="00173966" w:rsidRDefault="003D1097" w:rsidP="003D1097">
      <w:pPr>
        <w:outlineLvl w:val="0"/>
      </w:pPr>
    </w:p>
    <w:p w:rsidR="00173966" w:rsidRDefault="00173966" w:rsidP="00DB3513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6"/>
        </w:rPr>
      </w:pPr>
    </w:p>
    <w:p w:rsidR="008B04AC" w:rsidRPr="008B04AC" w:rsidRDefault="008B04AC" w:rsidP="008B04AC">
      <w:pPr>
        <w:pStyle w:val="Cmsor2"/>
        <w:spacing w:before="0" w:after="0" w:line="360" w:lineRule="auto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8B04AC">
        <w:rPr>
          <w:rFonts w:ascii="Times New Roman" w:hAnsi="Times New Roman" w:cs="Times New Roman"/>
          <w:bCs w:val="0"/>
          <w:i w:val="0"/>
          <w:iCs w:val="0"/>
        </w:rPr>
        <w:t>INTÉZMÉNYI</w:t>
      </w:r>
      <w:r w:rsidRPr="008B04AC">
        <w:rPr>
          <w:rFonts w:ascii="Times New Roman" w:hAnsi="Times New Roman" w:cs="Times New Roman"/>
          <w:i w:val="0"/>
          <w:iCs w:val="0"/>
        </w:rPr>
        <w:t xml:space="preserve"> SZAKMAI, TUDOMÁNYOS </w:t>
      </w:r>
      <w:proofErr w:type="gramStart"/>
      <w:r w:rsidRPr="008B04AC">
        <w:rPr>
          <w:rFonts w:ascii="Times New Roman" w:hAnsi="Times New Roman" w:cs="Times New Roman"/>
          <w:bCs w:val="0"/>
          <w:i w:val="0"/>
          <w:iCs w:val="0"/>
        </w:rPr>
        <w:t>ÉS</w:t>
      </w:r>
      <w:proofErr w:type="gramEnd"/>
      <w:r w:rsidRPr="008B04AC">
        <w:rPr>
          <w:rFonts w:ascii="Times New Roman" w:hAnsi="Times New Roman" w:cs="Times New Roman"/>
          <w:bCs w:val="0"/>
          <w:i w:val="0"/>
          <w:iCs w:val="0"/>
        </w:rPr>
        <w:t xml:space="preserve"> SPORT ÖSZTÖNDÍJ</w:t>
      </w:r>
    </w:p>
    <w:p w:rsidR="003D1097" w:rsidRPr="009073B3" w:rsidRDefault="003D1097" w:rsidP="009073B3">
      <w:pPr>
        <w:pStyle w:val="Cmsor2"/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</w:rPr>
      </w:pPr>
      <w:r w:rsidRPr="008B04AC">
        <w:rPr>
          <w:rFonts w:ascii="Times New Roman" w:hAnsi="Times New Roman" w:cs="Times New Roman"/>
          <w:i w:val="0"/>
          <w:iCs w:val="0"/>
        </w:rPr>
        <w:t>PÁLYÁZAT</w:t>
      </w:r>
      <w:r w:rsidR="00DB3513" w:rsidRPr="008B04AC">
        <w:rPr>
          <w:rFonts w:ascii="Times New Roman" w:hAnsi="Times New Roman" w:cs="Times New Roman"/>
          <w:i w:val="0"/>
          <w:iCs w:val="0"/>
        </w:rPr>
        <w:t>I FELHÍVÁS</w:t>
      </w:r>
      <w:r w:rsidRPr="008B04AC">
        <w:rPr>
          <w:rFonts w:ascii="Times New Roman" w:hAnsi="Times New Roman" w:cs="Times New Roman"/>
          <w:i w:val="0"/>
          <w:iCs w:val="0"/>
        </w:rPr>
        <w:t xml:space="preserve"> </w:t>
      </w:r>
      <w:r w:rsidR="00DB3513" w:rsidRPr="008B04AC">
        <w:rPr>
          <w:rFonts w:ascii="Times New Roman" w:hAnsi="Times New Roman" w:cs="Times New Roman"/>
          <w:i w:val="0"/>
          <w:iCs w:val="0"/>
        </w:rPr>
        <w:br/>
      </w:r>
      <w:bookmarkEnd w:id="0"/>
      <w:r w:rsidR="00780E36" w:rsidRPr="009073B3">
        <w:rPr>
          <w:rFonts w:ascii="Times New Roman" w:hAnsi="Times New Roman" w:cs="Times New Roman"/>
          <w:b w:val="0"/>
          <w:bCs w:val="0"/>
        </w:rPr>
        <w:t>Beadási határidő: 2015. november 20.</w:t>
      </w:r>
      <w:r w:rsidR="009073B3" w:rsidRPr="009073B3">
        <w:rPr>
          <w:rFonts w:ascii="Times New Roman" w:hAnsi="Times New Roman" w:cs="Times New Roman"/>
          <w:b w:val="0"/>
          <w:bCs w:val="0"/>
        </w:rPr>
        <w:br/>
      </w:r>
      <w:r w:rsidRPr="009073B3">
        <w:rPr>
          <w:rFonts w:ascii="Times New Roman" w:hAnsi="Times New Roman" w:cs="Times New Roman"/>
          <w:b w:val="0"/>
        </w:rPr>
        <w:t xml:space="preserve">Helye: HÖK </w:t>
      </w:r>
      <w:r w:rsidR="009073B3" w:rsidRPr="009073B3">
        <w:rPr>
          <w:rFonts w:ascii="Times New Roman" w:hAnsi="Times New Roman" w:cs="Times New Roman"/>
          <w:b w:val="0"/>
          <w:bCs w:val="0"/>
        </w:rPr>
        <w:t>I</w:t>
      </w:r>
      <w:r w:rsidRPr="009073B3">
        <w:rPr>
          <w:rFonts w:ascii="Times New Roman" w:hAnsi="Times New Roman" w:cs="Times New Roman"/>
          <w:b w:val="0"/>
        </w:rPr>
        <w:t>roda</w:t>
      </w:r>
      <w:r w:rsidR="009073B3" w:rsidRPr="009073B3">
        <w:rPr>
          <w:rFonts w:ascii="Times New Roman" w:hAnsi="Times New Roman" w:cs="Times New Roman"/>
          <w:b w:val="0"/>
          <w:bCs w:val="0"/>
        </w:rPr>
        <w:t xml:space="preserve"> – I/124.</w:t>
      </w:r>
    </w:p>
    <w:p w:rsidR="003D1097" w:rsidRPr="00481B51" w:rsidRDefault="003D1097" w:rsidP="003D1097">
      <w:pPr>
        <w:shd w:val="clear" w:color="auto" w:fill="FFFFFF" w:themeFill="background1"/>
      </w:pPr>
    </w:p>
    <w:p w:rsidR="003D1097" w:rsidRPr="00481B51" w:rsidRDefault="003D1097" w:rsidP="006B357A">
      <w:pPr>
        <w:spacing w:after="120"/>
        <w:jc w:val="both"/>
      </w:pPr>
      <w:r w:rsidRPr="00481B51">
        <w:t xml:space="preserve">(1) A </w:t>
      </w:r>
      <w:r w:rsidRPr="00E729CB">
        <w:rPr>
          <w:b/>
        </w:rPr>
        <w:t>tantervi követelményeken túlmutató</w:t>
      </w:r>
      <w:r w:rsidR="00481B51" w:rsidRPr="00481B51">
        <w:t xml:space="preserve"> (</w:t>
      </w:r>
      <w:proofErr w:type="spellStart"/>
      <w:r w:rsidR="00481B51" w:rsidRPr="00481B51">
        <w:t>l</w:t>
      </w:r>
      <w:r w:rsidRPr="00481B51">
        <w:t>d</w:t>
      </w:r>
      <w:proofErr w:type="spellEnd"/>
      <w:r w:rsidRPr="00481B51">
        <w:t xml:space="preserve">: köztársasági ösztöndíj pályázati lap!) </w:t>
      </w:r>
      <w:proofErr w:type="gramStart"/>
      <w:r w:rsidRPr="00E729CB">
        <w:rPr>
          <w:b/>
        </w:rPr>
        <w:t>tevékenységet</w:t>
      </w:r>
      <w:proofErr w:type="gramEnd"/>
      <w:r w:rsidRPr="00481B51">
        <w:t xml:space="preserve"> </w:t>
      </w:r>
      <w:r w:rsidRPr="00E729CB">
        <w:rPr>
          <w:b/>
        </w:rPr>
        <w:t>végző hallgató részére</w:t>
      </w:r>
      <w:r w:rsidRPr="00481B51">
        <w:t xml:space="preserve">, pályázat alapján </w:t>
      </w:r>
      <w:r w:rsidRPr="00481B51">
        <w:rPr>
          <w:bCs/>
        </w:rPr>
        <w:t>intézményi szakmai, tudományos</w:t>
      </w:r>
      <w:r w:rsidRPr="00481B51">
        <w:t xml:space="preserve"> és sport ösztöndíj (a továbbiakban: intézményi ösztöndíj) folyósítható. </w:t>
      </w:r>
    </w:p>
    <w:p w:rsidR="006B357A" w:rsidRPr="00481B51" w:rsidRDefault="003D1097" w:rsidP="006B357A">
      <w:pPr>
        <w:spacing w:after="120"/>
        <w:jc w:val="both"/>
      </w:pPr>
      <w:r w:rsidRPr="00481B51">
        <w:t>(2) Az intézményi ösztöndíj pályázat alapján egy tanulmányi félévre (5 hónapra) odaítélt, havonta folyósított juttatás.</w:t>
      </w:r>
    </w:p>
    <w:p w:rsidR="003D1097" w:rsidRPr="00481B51" w:rsidRDefault="003D1097" w:rsidP="003D1097">
      <w:pPr>
        <w:jc w:val="both"/>
      </w:pPr>
      <w:r w:rsidRPr="00481B51">
        <w:t xml:space="preserve">(3) Intézményi ösztöndíjban olyan teljes idejű alapképzésben, egységes, osztatlan képzésben, mesterképzésben, felsőfokú szakképzésben részt vevő hallgató részesülhet, aki </w:t>
      </w:r>
    </w:p>
    <w:p w:rsidR="003D1097" w:rsidRPr="00481B51" w:rsidRDefault="003D1097" w:rsidP="003D1097">
      <w:pPr>
        <w:numPr>
          <w:ilvl w:val="0"/>
          <w:numId w:val="1"/>
        </w:numPr>
        <w:jc w:val="both"/>
      </w:pPr>
      <w:r w:rsidRPr="00481B51">
        <w:t xml:space="preserve">a </w:t>
      </w:r>
      <w:proofErr w:type="spellStart"/>
      <w:r w:rsidRPr="00481B51">
        <w:t>DRHE-n</w:t>
      </w:r>
      <w:proofErr w:type="spellEnd"/>
      <w:r w:rsidRPr="00481B51">
        <w:t xml:space="preserve"> legalább </w:t>
      </w:r>
      <w:r w:rsidRPr="00E729CB">
        <w:rPr>
          <w:b/>
          <w:i/>
        </w:rPr>
        <w:t xml:space="preserve">két aktív félévet </w:t>
      </w:r>
      <w:r w:rsidRPr="00481B51">
        <w:t xml:space="preserve">teljesített, és legalább </w:t>
      </w:r>
      <w:r w:rsidRPr="00E729CB">
        <w:rPr>
          <w:b/>
          <w:i/>
        </w:rPr>
        <w:t>50 kreditet</w:t>
      </w:r>
      <w:r w:rsidRPr="00481B51">
        <w:t xml:space="preserve"> megszerzett,</w:t>
      </w:r>
    </w:p>
    <w:p w:rsidR="003D1097" w:rsidRPr="00481B51" w:rsidRDefault="003D1097" w:rsidP="003D1097">
      <w:pPr>
        <w:numPr>
          <w:ilvl w:val="0"/>
          <w:numId w:val="1"/>
        </w:numPr>
        <w:jc w:val="both"/>
      </w:pPr>
      <w:r w:rsidRPr="00481B51">
        <w:t xml:space="preserve">tanulmányi átlageredménye (ösztöndíjindexe) </w:t>
      </w:r>
      <w:r w:rsidRPr="00481B51">
        <w:rPr>
          <w:bCs/>
        </w:rPr>
        <w:t>egymást követő két utolsó félévben</w:t>
      </w:r>
      <w:r w:rsidRPr="00481B51">
        <w:t xml:space="preserve"> </w:t>
      </w:r>
      <w:r w:rsidRPr="00481B51">
        <w:rPr>
          <w:bCs/>
        </w:rPr>
        <w:t xml:space="preserve">legalább </w:t>
      </w:r>
      <w:r w:rsidRPr="00E729CB">
        <w:rPr>
          <w:b/>
          <w:bCs/>
          <w:i/>
        </w:rPr>
        <w:t>4,51</w:t>
      </w:r>
      <w:r w:rsidRPr="00E729CB">
        <w:rPr>
          <w:b/>
          <w:i/>
        </w:rPr>
        <w:t xml:space="preserve"> volt javítóvizsga nélkül</w:t>
      </w:r>
    </w:p>
    <w:p w:rsidR="003D1097" w:rsidRPr="00481B51" w:rsidRDefault="003D1097" w:rsidP="003D1097">
      <w:pPr>
        <w:numPr>
          <w:ilvl w:val="0"/>
          <w:numId w:val="1"/>
        </w:numPr>
        <w:jc w:val="both"/>
        <w:rPr>
          <w:bCs/>
        </w:rPr>
      </w:pPr>
      <w:r w:rsidRPr="00481B51">
        <w:rPr>
          <w:bCs/>
        </w:rPr>
        <w:t>tanulmányi fegyelme és magatartása példamutató,</w:t>
      </w:r>
    </w:p>
    <w:p w:rsidR="003D1097" w:rsidRPr="00481B51" w:rsidRDefault="003D1097" w:rsidP="006B357A">
      <w:pPr>
        <w:numPr>
          <w:ilvl w:val="0"/>
          <w:numId w:val="1"/>
        </w:numPr>
        <w:spacing w:after="120"/>
        <w:jc w:val="both"/>
        <w:rPr>
          <w:bCs/>
        </w:rPr>
      </w:pPr>
      <w:r w:rsidRPr="00481B51">
        <w:rPr>
          <w:bCs/>
        </w:rPr>
        <w:t>sportágában eredményes, országos jelentőségű munkát folytat.</w:t>
      </w:r>
    </w:p>
    <w:p w:rsidR="003D1097" w:rsidRPr="00481B51" w:rsidRDefault="003D1097" w:rsidP="006B357A">
      <w:pPr>
        <w:autoSpaceDE w:val="0"/>
        <w:autoSpaceDN w:val="0"/>
        <w:adjustRightInd w:val="0"/>
        <w:spacing w:after="120"/>
        <w:jc w:val="both"/>
      </w:pPr>
      <w:r w:rsidRPr="00481B51">
        <w:t xml:space="preserve">(4) A közéleti ösztöndíj nyilvános pályázat útján nyerhető el. A pályázatban </w:t>
      </w:r>
      <w:r w:rsidRPr="00E729CB">
        <w:rPr>
          <w:b/>
          <w:i/>
        </w:rPr>
        <w:t>a jelölt bemutatja és igazolja</w:t>
      </w:r>
      <w:r w:rsidRPr="00481B51">
        <w:t>, hogy a követelményeknek teljes mértékben megfelel.</w:t>
      </w:r>
    </w:p>
    <w:p w:rsidR="003D1097" w:rsidRPr="00481B51" w:rsidRDefault="003D1097" w:rsidP="006B357A">
      <w:pPr>
        <w:spacing w:after="120"/>
        <w:jc w:val="both"/>
      </w:pPr>
      <w:r w:rsidRPr="00481B51">
        <w:t xml:space="preserve">(5) A beérkezett pályázatokat a DJB a köztársasági ösztöndíjra vonatkozó szempontrendszer alapján véleményezi, és dönt a közéleti ösztöndíjak odaítéléséről és azok konkrét összegéről. A döntés ellen jogorvoslatnak helye nincs, kivéve, ha a DJB eljárási szabályt sértett; ez utóbbi esetben a fellebbezést írásban a rektorhoz címezve, a Rektori Hivatalban kell benyújtani. </w:t>
      </w:r>
    </w:p>
    <w:p w:rsidR="003D1097" w:rsidRPr="00481B51" w:rsidRDefault="003D1097" w:rsidP="006B357A">
      <w:pPr>
        <w:spacing w:after="120"/>
        <w:jc w:val="both"/>
      </w:pPr>
      <w:r w:rsidRPr="00481B51">
        <w:t>(6) A DJB az intézményi ösztöndíjat egyazon hallgató esetében ismételt sikeres pályázat esetén egy további félévre ítélheti oda.</w:t>
      </w:r>
    </w:p>
    <w:p w:rsidR="006B357A" w:rsidRDefault="003D1097" w:rsidP="001A2A85">
      <w:pPr>
        <w:spacing w:after="120"/>
        <w:jc w:val="both"/>
      </w:pPr>
      <w:r w:rsidRPr="00481B51">
        <w:t xml:space="preserve"> (7) Köztársasági ösztöndíj, valamint intézményi ösztöndíj egyidejűleg ugyanannak a hallgatónak nem folyósítható.</w:t>
      </w:r>
    </w:p>
    <w:p w:rsidR="006B357A" w:rsidRDefault="006B357A" w:rsidP="001A2A85">
      <w:pPr>
        <w:spacing w:after="120"/>
        <w:jc w:val="both"/>
      </w:pPr>
      <w:r w:rsidRPr="00481B51">
        <w:t>A köztársasági ösztöndíjra von</w:t>
      </w:r>
      <w:r w:rsidR="001A26CA">
        <w:t>atkozó rendelkezéseket a TJSZ 20</w:t>
      </w:r>
      <w:r w:rsidRPr="00481B51">
        <w:t xml:space="preserve">. </w:t>
      </w:r>
      <w:r w:rsidR="001A26CA">
        <w:t>szakasza</w:t>
      </w:r>
      <w:r w:rsidRPr="00481B51">
        <w:t xml:space="preserve"> tartalmazza.</w:t>
      </w:r>
    </w:p>
    <w:p w:rsidR="006B357A" w:rsidRPr="00481B51" w:rsidRDefault="006B357A" w:rsidP="00CB2FB7">
      <w:pPr>
        <w:jc w:val="both"/>
      </w:pPr>
      <w:r>
        <w:t>A beérkezett pályázatokról a Diákjóléti Bizottság 2015. november 30-ig dönt, melyről határozatban értesíti a pályázókat. A határozatok 2015. december 7. napjától átvehetőek a HÖK Irodában a fogadóórák időpontjában.</w:t>
      </w:r>
    </w:p>
    <w:p w:rsidR="006B357A" w:rsidRPr="00481B51" w:rsidRDefault="006B357A" w:rsidP="003D1097">
      <w:pPr>
        <w:jc w:val="both"/>
      </w:pPr>
    </w:p>
    <w:p w:rsidR="003D1097" w:rsidRDefault="003D1097" w:rsidP="003D1097">
      <w:pPr>
        <w:jc w:val="both"/>
      </w:pPr>
    </w:p>
    <w:p w:rsidR="00732E68" w:rsidRPr="00173966" w:rsidRDefault="00732E68" w:rsidP="003D1097">
      <w:pPr>
        <w:jc w:val="both"/>
      </w:pPr>
      <w:bookmarkStart w:id="1" w:name="_GoBack"/>
      <w:bookmarkEnd w:id="1"/>
    </w:p>
    <w:p w:rsidR="006B75DD" w:rsidRDefault="006B75DD" w:rsidP="006B75DD">
      <w:pPr>
        <w:ind w:left="6372"/>
      </w:pPr>
      <w:proofErr w:type="gramStart"/>
      <w:r>
        <w:t>dr.</w:t>
      </w:r>
      <w:proofErr w:type="gramEnd"/>
      <w:r>
        <w:t xml:space="preserve"> </w:t>
      </w:r>
      <w:proofErr w:type="spellStart"/>
      <w:r>
        <w:t>Vojtkó-Pék</w:t>
      </w:r>
      <w:proofErr w:type="spellEnd"/>
      <w:r>
        <w:t xml:space="preserve"> Ildikó</w:t>
      </w:r>
    </w:p>
    <w:p w:rsidR="003D1097" w:rsidRPr="00173966" w:rsidRDefault="006B75DD" w:rsidP="006B75DD">
      <w:pPr>
        <w:ind w:left="6372"/>
      </w:pPr>
      <w:r>
        <w:t xml:space="preserve">       </w:t>
      </w:r>
      <w:r w:rsidR="003D1097" w:rsidRPr="00173966">
        <w:t>DJB elnök</w:t>
      </w:r>
    </w:p>
    <w:p w:rsidR="005F3134" w:rsidRPr="00173966" w:rsidRDefault="006B75DD">
      <w:r>
        <w:t>2015</w:t>
      </w:r>
      <w:r w:rsidR="003D1097" w:rsidRPr="00173966">
        <w:t xml:space="preserve">. </w:t>
      </w:r>
      <w:r>
        <w:t>november 6</w:t>
      </w:r>
      <w:r w:rsidR="003D1097" w:rsidRPr="00173966">
        <w:t>.</w:t>
      </w:r>
    </w:p>
    <w:sectPr w:rsidR="005F3134" w:rsidRPr="00173966" w:rsidSect="0053202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0D29"/>
    <w:multiLevelType w:val="hybridMultilevel"/>
    <w:tmpl w:val="26DC11A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97"/>
    <w:rsid w:val="00173966"/>
    <w:rsid w:val="001A26CA"/>
    <w:rsid w:val="001A2A85"/>
    <w:rsid w:val="003D1097"/>
    <w:rsid w:val="00415D82"/>
    <w:rsid w:val="00425977"/>
    <w:rsid w:val="00481B51"/>
    <w:rsid w:val="005F3134"/>
    <w:rsid w:val="006628BD"/>
    <w:rsid w:val="006B357A"/>
    <w:rsid w:val="006B75DD"/>
    <w:rsid w:val="00732E68"/>
    <w:rsid w:val="00780E36"/>
    <w:rsid w:val="008B04AC"/>
    <w:rsid w:val="009073B3"/>
    <w:rsid w:val="009B19BF"/>
    <w:rsid w:val="00CB2FB7"/>
    <w:rsid w:val="00DB3513"/>
    <w:rsid w:val="00E43D07"/>
    <w:rsid w:val="00E729CB"/>
    <w:rsid w:val="00E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097"/>
    <w:pPr>
      <w:spacing w:after="0" w:line="240" w:lineRule="auto"/>
    </w:pPr>
    <w:rPr>
      <w:rFonts w:ascii="Times New Roman" w:eastAsia="Times New Roman" w:hAnsi="Times New Roman" w:cs="Times New Roman"/>
      <w:lang w:eastAsia="hu-HU" w:bidi="ar-SA"/>
    </w:rPr>
  </w:style>
  <w:style w:type="paragraph" w:styleId="Cmsor2">
    <w:name w:val="heading 2"/>
    <w:basedOn w:val="Norml"/>
    <w:next w:val="Norml"/>
    <w:link w:val="Cmsor2Char"/>
    <w:qFormat/>
    <w:rsid w:val="003D10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D1097"/>
    <w:rPr>
      <w:rFonts w:ascii="Arial" w:eastAsia="Times New Roman" w:hAnsi="Arial" w:cs="Arial"/>
      <w:b/>
      <w:bCs/>
      <w:i/>
      <w:iCs/>
      <w:sz w:val="28"/>
      <w:szCs w:val="28"/>
      <w:lang w:eastAsia="hu-HU" w:bidi="ar-SA"/>
    </w:rPr>
  </w:style>
  <w:style w:type="paragraph" w:styleId="Cm">
    <w:name w:val="Title"/>
    <w:basedOn w:val="Norml"/>
    <w:link w:val="CmChar"/>
    <w:qFormat/>
    <w:rsid w:val="003D1097"/>
    <w:pPr>
      <w:jc w:val="center"/>
    </w:pPr>
    <w:rPr>
      <w:b/>
      <w:szCs w:val="20"/>
      <w:u w:val="single"/>
      <w:lang w:val="de-DE"/>
    </w:rPr>
  </w:style>
  <w:style w:type="character" w:customStyle="1" w:styleId="CmChar">
    <w:name w:val="Cím Char"/>
    <w:basedOn w:val="Bekezdsalapbettpusa"/>
    <w:link w:val="Cm"/>
    <w:rsid w:val="003D1097"/>
    <w:rPr>
      <w:rFonts w:ascii="Times New Roman" w:eastAsia="Times New Roman" w:hAnsi="Times New Roman" w:cs="Times New Roman"/>
      <w:b/>
      <w:szCs w:val="20"/>
      <w:u w:val="single"/>
      <w:lang w:val="de-DE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097"/>
    <w:pPr>
      <w:spacing w:after="0" w:line="240" w:lineRule="auto"/>
    </w:pPr>
    <w:rPr>
      <w:rFonts w:ascii="Times New Roman" w:eastAsia="Times New Roman" w:hAnsi="Times New Roman" w:cs="Times New Roman"/>
      <w:lang w:eastAsia="hu-HU" w:bidi="ar-SA"/>
    </w:rPr>
  </w:style>
  <w:style w:type="paragraph" w:styleId="Cmsor2">
    <w:name w:val="heading 2"/>
    <w:basedOn w:val="Norml"/>
    <w:next w:val="Norml"/>
    <w:link w:val="Cmsor2Char"/>
    <w:qFormat/>
    <w:rsid w:val="003D10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D1097"/>
    <w:rPr>
      <w:rFonts w:ascii="Arial" w:eastAsia="Times New Roman" w:hAnsi="Arial" w:cs="Arial"/>
      <w:b/>
      <w:bCs/>
      <w:i/>
      <w:iCs/>
      <w:sz w:val="28"/>
      <w:szCs w:val="28"/>
      <w:lang w:eastAsia="hu-HU" w:bidi="ar-SA"/>
    </w:rPr>
  </w:style>
  <w:style w:type="paragraph" w:styleId="Cm">
    <w:name w:val="Title"/>
    <w:basedOn w:val="Norml"/>
    <w:link w:val="CmChar"/>
    <w:qFormat/>
    <w:rsid w:val="003D1097"/>
    <w:pPr>
      <w:jc w:val="center"/>
    </w:pPr>
    <w:rPr>
      <w:b/>
      <w:szCs w:val="20"/>
      <w:u w:val="single"/>
      <w:lang w:val="de-DE"/>
    </w:rPr>
  </w:style>
  <w:style w:type="character" w:customStyle="1" w:styleId="CmChar">
    <w:name w:val="Cím Char"/>
    <w:basedOn w:val="Bekezdsalapbettpusa"/>
    <w:link w:val="Cm"/>
    <w:rsid w:val="003D1097"/>
    <w:rPr>
      <w:rFonts w:ascii="Times New Roman" w:eastAsia="Times New Roman" w:hAnsi="Times New Roman" w:cs="Times New Roman"/>
      <w:b/>
      <w:szCs w:val="20"/>
      <w:u w:val="single"/>
      <w:lang w:val="de-DE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</dc:creator>
  <cp:lastModifiedBy>user</cp:lastModifiedBy>
  <cp:revision>23</cp:revision>
  <dcterms:created xsi:type="dcterms:W3CDTF">2015-10-28T15:32:00Z</dcterms:created>
  <dcterms:modified xsi:type="dcterms:W3CDTF">2015-11-04T14:22:00Z</dcterms:modified>
</cp:coreProperties>
</file>